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67" w:rsidRDefault="00C77467" w:rsidP="007C24D2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595A77" w:rsidRDefault="00EF3BD3" w:rsidP="00824DA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824DAF" w:rsidRPr="00B117D4">
        <w:rPr>
          <w:rFonts w:cstheme="minorHAnsi"/>
          <w:b/>
          <w:sz w:val="28"/>
          <w:szCs w:val="28"/>
        </w:rPr>
        <w:t>a</w:t>
      </w:r>
      <w:r w:rsidRPr="00595A77">
        <w:rPr>
          <w:rFonts w:cstheme="minorHAnsi"/>
          <w:b/>
          <w:sz w:val="28"/>
          <w:szCs w:val="28"/>
        </w:rPr>
        <w:t xml:space="preserve"> </w:t>
      </w:r>
      <w:r w:rsidR="00595A77" w:rsidRPr="00595A77">
        <w:rPr>
          <w:rFonts w:cs="Arial"/>
          <w:b/>
          <w:color w:val="000000"/>
          <w:sz w:val="28"/>
          <w:szCs w:val="28"/>
        </w:rPr>
        <w:t xml:space="preserve">dostawę </w:t>
      </w:r>
      <w:r w:rsidR="007C24D2">
        <w:rPr>
          <w:rFonts w:cs="Arial"/>
          <w:b/>
          <w:color w:val="000000"/>
          <w:sz w:val="28"/>
          <w:szCs w:val="28"/>
        </w:rPr>
        <w:t>krat podestowych VEMA</w:t>
      </w:r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1A6977" w:rsidRDefault="00AC1AFF" w:rsidP="001A6977">
      <w:pPr>
        <w:pStyle w:val="Tekstpodstawowy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KRATY PODESTOWE OCYNK. VEMA 1</w:t>
      </w:r>
      <w:r w:rsidR="004F2EC2">
        <w:rPr>
          <w:rFonts w:ascii="Calibri" w:hAnsi="Calibri" w:cs="Calibri"/>
        </w:rPr>
        <w:t>0</w:t>
      </w:r>
      <w:r>
        <w:rPr>
          <w:rFonts w:ascii="Calibri" w:hAnsi="Calibri" w:cs="Calibri"/>
        </w:rPr>
        <w:t>00X1</w:t>
      </w:r>
      <w:r w:rsidR="004F2EC2">
        <w:rPr>
          <w:rFonts w:ascii="Calibri" w:hAnsi="Calibri" w:cs="Calibri"/>
        </w:rPr>
        <w:t>5</w:t>
      </w:r>
      <w:r>
        <w:rPr>
          <w:rFonts w:ascii="Calibri" w:hAnsi="Calibri" w:cs="Calibri"/>
        </w:rPr>
        <w:t>00X</w:t>
      </w:r>
      <w:r w:rsidR="004F2EC2">
        <w:rPr>
          <w:rFonts w:ascii="Calibri" w:hAnsi="Calibri" w:cs="Calibri"/>
        </w:rPr>
        <w:t>25x2</w:t>
      </w:r>
      <w:r>
        <w:rPr>
          <w:rFonts w:ascii="Calibri" w:hAnsi="Calibri" w:cs="Calibri"/>
        </w:rPr>
        <w:t xml:space="preserve"> oczko w standardzie – </w:t>
      </w:r>
      <w:r w:rsidR="004F2EC2">
        <w:rPr>
          <w:rFonts w:ascii="Calibri" w:hAnsi="Calibri" w:cs="Calibri"/>
        </w:rPr>
        <w:t>2</w:t>
      </w:r>
      <w:r w:rsidR="00B019AB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szt.</w:t>
      </w:r>
    </w:p>
    <w:p w:rsidR="004F2EC2" w:rsidRDefault="004F2EC2" w:rsidP="001A6977">
      <w:pPr>
        <w:pStyle w:val="Tekstpodstawowy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KRATY PODESTOWE OCYNK. VEMA 1500X1000X40 oczko w standardzie – 60 szt.</w:t>
      </w:r>
    </w:p>
    <w:p w:rsidR="004F2EC2" w:rsidRPr="00595A77" w:rsidRDefault="004F2EC2" w:rsidP="001A6977">
      <w:pPr>
        <w:pStyle w:val="Tekstpodstawowy"/>
        <w:ind w:left="426"/>
        <w:rPr>
          <w:b/>
        </w:rPr>
      </w:pPr>
      <w:r>
        <w:rPr>
          <w:rFonts w:ascii="Calibri" w:hAnsi="Calibri" w:cs="Calibri"/>
        </w:rPr>
        <w:t>KRATY PODESTOWE OCYNK. VEMA 1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00X1000X40 oczko w standardzie –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0 szt.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4F2EC2">
        <w:rPr>
          <w:rFonts w:asciiTheme="minorHAnsi" w:hAnsiTheme="minorHAnsi" w:cstheme="minorHAnsi"/>
          <w:b/>
          <w:lang w:val="pl-PL"/>
        </w:rPr>
        <w:t>1</w:t>
      </w:r>
      <w:r w:rsidR="00595A77">
        <w:rPr>
          <w:rFonts w:asciiTheme="minorHAnsi" w:hAnsiTheme="minorHAnsi" w:cstheme="minorHAnsi"/>
          <w:b/>
          <w:lang w:val="pl-PL"/>
        </w:rPr>
        <w:t>0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4F2EC2">
        <w:rPr>
          <w:rFonts w:asciiTheme="minorHAnsi" w:hAnsiTheme="minorHAnsi" w:cstheme="minorHAnsi"/>
          <w:b/>
          <w:lang w:val="pl-PL"/>
        </w:rPr>
        <w:t>10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</w:t>
      </w:r>
      <w:r w:rsidR="00CE0EC2">
        <w:rPr>
          <w:rFonts w:cs="Arial"/>
          <w:lang w:eastAsia="ja-JP"/>
        </w:rPr>
        <w:t xml:space="preserve">Elektrownia </w:t>
      </w:r>
      <w:r w:rsidRPr="00BE22F8">
        <w:rPr>
          <w:rFonts w:cs="Arial"/>
          <w:lang w:eastAsia="ja-JP"/>
        </w:rPr>
        <w:t>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6C689F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6C689F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6C689F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1B03EB">
        <w:rPr>
          <w:rFonts w:asciiTheme="minorHAnsi" w:hAnsiTheme="minorHAnsi" w:cs="Arial"/>
          <w:bCs w:val="0"/>
          <w:iCs w:val="0"/>
          <w:lang w:val="pl-PL"/>
        </w:rPr>
        <w:t>1</w:t>
      </w:r>
      <w:r>
        <w:rPr>
          <w:rFonts w:asciiTheme="minorHAnsi" w:hAnsiTheme="minorHAnsi" w:cs="Arial"/>
          <w:bCs w:val="0"/>
          <w:iCs w:val="0"/>
          <w:lang w:val="pl-PL"/>
        </w:rPr>
        <w:t>.0</w:t>
      </w:r>
      <w:r w:rsidR="001B03EB">
        <w:rPr>
          <w:rFonts w:asciiTheme="minorHAnsi" w:hAnsiTheme="minorHAnsi" w:cs="Arial"/>
          <w:bCs w:val="0"/>
          <w:iCs w:val="0"/>
          <w:lang w:val="pl-PL"/>
        </w:rPr>
        <w:t>9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</w:t>
      </w:r>
      <w:r w:rsidR="001B03EB">
        <w:rPr>
          <w:rFonts w:asciiTheme="minorHAnsi" w:hAnsiTheme="minorHAnsi" w:cs="Arial"/>
        </w:rPr>
        <w:t xml:space="preserve"> Elektrownia</w:t>
      </w:r>
      <w:r w:rsidRPr="00BE22F8">
        <w:rPr>
          <w:rFonts w:asciiTheme="minorHAnsi" w:hAnsiTheme="minorHAnsi" w:cs="Arial"/>
        </w:rPr>
        <w:t xml:space="preserve">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E4F84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AA030D">
        <w:rPr>
          <w:rFonts w:asciiTheme="minorHAnsi" w:hAnsiTheme="minorHAnsi" w:cs="Arial"/>
          <w:b/>
          <w:lang w:val="pl-PL"/>
        </w:rPr>
        <w:t>31</w:t>
      </w:r>
      <w:r>
        <w:rPr>
          <w:rFonts w:asciiTheme="minorHAnsi" w:hAnsiTheme="minorHAnsi" w:cs="Arial"/>
          <w:b/>
          <w:lang w:val="pl-PL"/>
        </w:rPr>
        <w:t>.0</w:t>
      </w:r>
      <w:r w:rsidR="001B03EB">
        <w:rPr>
          <w:rFonts w:asciiTheme="minorHAnsi" w:hAnsiTheme="minorHAnsi" w:cs="Arial"/>
          <w:b/>
          <w:lang w:val="pl-PL"/>
        </w:rPr>
        <w:t>8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595A77">
        <w:rPr>
          <w:rFonts w:asciiTheme="minorHAnsi" w:hAnsiTheme="minorHAnsi" w:cs="Arial"/>
          <w:b/>
          <w:lang w:val="pl-PL"/>
        </w:rPr>
        <w:t>9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AA030D">
        <w:rPr>
          <w:rFonts w:asciiTheme="minorHAnsi" w:hAnsiTheme="minorHAnsi"/>
          <w:b/>
          <w:lang w:eastAsia="pl-PL"/>
        </w:rPr>
        <w:t>Mateusz Smaluch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</w:t>
      </w:r>
      <w:r w:rsidR="00AA030D">
        <w:rPr>
          <w:rFonts w:asciiTheme="minorHAnsi" w:hAnsiTheme="minorHAnsi" w:cs="Arial"/>
          <w:b/>
        </w:rPr>
        <w:t>4</w:t>
      </w:r>
      <w:r w:rsidR="00DE3D8C">
        <w:rPr>
          <w:rFonts w:asciiTheme="minorHAnsi" w:hAnsiTheme="minorHAnsi" w:cs="Arial"/>
          <w:b/>
        </w:rPr>
        <w:t xml:space="preserve"> </w:t>
      </w:r>
      <w:r w:rsidR="00CE0EC2">
        <w:rPr>
          <w:rFonts w:asciiTheme="minorHAnsi" w:hAnsiTheme="minorHAnsi" w:cs="Arial"/>
          <w:b/>
        </w:rPr>
        <w:t>8</w:t>
      </w:r>
      <w:r w:rsidR="00AA030D">
        <w:rPr>
          <w:rFonts w:asciiTheme="minorHAnsi" w:hAnsiTheme="minorHAnsi" w:cs="Arial"/>
          <w:b/>
        </w:rPr>
        <w:t>1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AA030D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AA030D" w:rsidRPr="00F27AE1">
          <w:rPr>
            <w:rStyle w:val="Hipercze"/>
            <w:lang w:val="en-US"/>
          </w:rPr>
          <w:t>mateusz.smaluch@enea.pl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FD0140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EE4F84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FD014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FD0140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1A6977" w:rsidRPr="000078F0" w:rsidRDefault="001A6977" w:rsidP="00FD0140">
      <w:pPr>
        <w:pStyle w:val="Tekstpodstawowy"/>
        <w:spacing w:line="240" w:lineRule="auto"/>
      </w:pPr>
      <w: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E0EC2" w:rsidRDefault="00CE0EC2" w:rsidP="00A32AD5">
      <w:pPr>
        <w:spacing w:after="120" w:line="240" w:lineRule="auto"/>
        <w:rPr>
          <w:rFonts w:cs="Arial"/>
        </w:rPr>
      </w:pPr>
    </w:p>
    <w:p w:rsidR="00C77467" w:rsidRDefault="00C77467" w:rsidP="001B03EB">
      <w:pPr>
        <w:spacing w:after="120" w:line="240" w:lineRule="auto"/>
        <w:rPr>
          <w:rFonts w:cs="Arial"/>
          <w:b/>
        </w:rPr>
      </w:pPr>
    </w:p>
    <w:p w:rsidR="00C77467" w:rsidRDefault="00C77467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</w:t>
      </w:r>
      <w:r w:rsidR="005713EC">
        <w:rPr>
          <w:rFonts w:cs="Helvetica"/>
          <w:color w:val="333333"/>
        </w:rPr>
        <w:t xml:space="preserve"> Elektrownia</w:t>
      </w:r>
      <w:r>
        <w:rPr>
          <w:rFonts w:cs="Helvetica"/>
          <w:color w:val="333333"/>
        </w:rPr>
        <w:t xml:space="preserve">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804907" w:rsidRDefault="00B85BB9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DE3D8C">
        <w:rPr>
          <w:rFonts w:cs="Helvetica"/>
          <w:color w:val="333333"/>
        </w:rPr>
        <w:t>szt.</w:t>
      </w:r>
    </w:p>
    <w:p w:rsidR="001B03EB" w:rsidRDefault="001B03EB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1B03EB" w:rsidRPr="00CE0EC2" w:rsidRDefault="001B03EB" w:rsidP="00CE0EC2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…………………………………………………………………………………….……………………………</w:t>
      </w:r>
      <w:r w:rsidRPr="001F327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 xml:space="preserve"> netto za 1 szt.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</w:t>
      </w:r>
      <w:r w:rsidR="005713EC">
        <w:rPr>
          <w:rFonts w:cstheme="minorHAnsi"/>
          <w:color w:val="333333"/>
        </w:rPr>
        <w:t xml:space="preserve"> Elektrownia</w:t>
      </w:r>
      <w:r w:rsidRPr="006D4093">
        <w:rPr>
          <w:rFonts w:cstheme="minorHAnsi"/>
          <w:color w:val="333333"/>
        </w:rPr>
        <w:t xml:space="preserve">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</w:t>
      </w:r>
      <w:r w:rsidR="00CE0EC2">
        <w:rPr>
          <w:rFonts w:ascii="Arial" w:hAnsi="Arial" w:cs="Arial"/>
        </w:rPr>
        <w:t xml:space="preserve">Elektrownia </w:t>
      </w:r>
      <w:r w:rsidRPr="00C15BA5">
        <w:rPr>
          <w:rFonts w:ascii="Arial" w:hAnsi="Arial" w:cs="Arial"/>
        </w:rPr>
        <w:t xml:space="preserve">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</w:t>
      </w:r>
      <w:r w:rsidR="00CE0EC2">
        <w:rPr>
          <w:rFonts w:ascii="Arial" w:hAnsi="Arial" w:cs="Arial"/>
        </w:rPr>
        <w:t xml:space="preserve"> Elektrownia</w:t>
      </w:r>
      <w:r w:rsidRPr="006D4093">
        <w:rPr>
          <w:rFonts w:ascii="Arial" w:hAnsi="Arial" w:cs="Arial"/>
        </w:rPr>
        <w:t xml:space="preserve">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1B03EB">
        <w:rPr>
          <w:rStyle w:val="lscontrol--valign"/>
          <w:sz w:val="27"/>
          <w:szCs w:val="27"/>
        </w:rPr>
        <w:t>4100/JW00/31/KZ/2020/0000080511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="00AA030D">
        <w:rPr>
          <w:rFonts w:cstheme="minorHAnsi"/>
          <w:b/>
          <w:bCs/>
          <w:sz w:val="20"/>
          <w:szCs w:val="20"/>
        </w:rPr>
        <w:t>M</w:t>
      </w:r>
      <w:r w:rsidRPr="005C2C65">
        <w:rPr>
          <w:rFonts w:cstheme="minorHAnsi"/>
          <w:b/>
          <w:bCs/>
          <w:sz w:val="20"/>
          <w:szCs w:val="20"/>
        </w:rPr>
        <w:t>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AA030D">
        <w:rPr>
          <w:rFonts w:cstheme="minorHAnsi"/>
        </w:rPr>
        <w:t>września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1B03EB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Krzysztof</w:t>
      </w:r>
      <w:r w:rsidR="00891441" w:rsidRPr="005C2C65">
        <w:rPr>
          <w:rFonts w:cstheme="minorHAnsi"/>
          <w:b/>
        </w:rPr>
        <w:t xml:space="preserve"> </w:t>
      </w:r>
      <w:r>
        <w:rPr>
          <w:rFonts w:cstheme="minorHAnsi"/>
          <w:b/>
        </w:rPr>
        <w:t>Pawełek</w:t>
      </w:r>
      <w:r w:rsidR="00891441" w:rsidRPr="005C2C65">
        <w:rPr>
          <w:rFonts w:cstheme="minorHAnsi"/>
          <w:b/>
        </w:rPr>
        <w:t xml:space="preserve">                        -     </w:t>
      </w:r>
      <w:r>
        <w:rPr>
          <w:rFonts w:cstheme="minorHAnsi"/>
          <w:b/>
        </w:rPr>
        <w:tab/>
      </w:r>
      <w:r w:rsidR="00891441" w:rsidRPr="005C2C65">
        <w:rPr>
          <w:rFonts w:cstheme="minorHAnsi"/>
          <w:b/>
        </w:rPr>
        <w:t>Wiceprezes Zarządu</w:t>
      </w:r>
      <w:r>
        <w:rPr>
          <w:rFonts w:cstheme="minorHAnsi"/>
          <w:b/>
        </w:rPr>
        <w:t xml:space="preserve"> ds. Technicznych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</w:t>
      </w:r>
      <w:r w:rsidR="001B03EB">
        <w:rPr>
          <w:rFonts w:cstheme="minorHAnsi"/>
          <w:b/>
        </w:rPr>
        <w:tab/>
        <w:t>-</w:t>
      </w:r>
      <w:r w:rsidR="001B03EB">
        <w:rPr>
          <w:rFonts w:cstheme="minorHAnsi"/>
          <w:b/>
        </w:rPr>
        <w:tab/>
      </w:r>
      <w:r w:rsidRPr="005C2C65">
        <w:rPr>
          <w:rFonts w:cstheme="minorHAnsi"/>
          <w:b/>
        </w:rPr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E0EC2" w:rsidRPr="005C2C65" w:rsidRDefault="00CE0EC2" w:rsidP="005713EC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CE0EC2" w:rsidRPr="00F22413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lastRenderedPageBreak/>
        <w:t xml:space="preserve">Dostawca oświadcza i zapewnia, że zapoznał się i będzie przestrzegał postanowień Kodeksu Kontrahentów Grupy ENEA dostępnego na stronie: </w:t>
      </w:r>
      <w:hyperlink r:id="rId17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04907" w:rsidRPr="00CE0EC2" w:rsidRDefault="00CE0EC2" w:rsidP="005713EC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  <w:tab w:val="num" w:pos="567"/>
        </w:tabs>
        <w:suppressAutoHyphens/>
        <w:spacing w:line="276" w:lineRule="auto"/>
        <w:ind w:left="567" w:hanging="283"/>
        <w:rPr>
          <w:rFonts w:asciiTheme="minorHAnsi" w:hAnsiTheme="minorHAnsi" w:cstheme="minorHAnsi"/>
          <w:szCs w:val="22"/>
        </w:rPr>
      </w:pPr>
      <w:r w:rsidRPr="00CE0EC2">
        <w:rPr>
          <w:rFonts w:asciiTheme="minorHAnsi" w:hAnsiTheme="minorHAnsi"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1B03EB" w:rsidRPr="001B03EB" w:rsidRDefault="001B03EB" w:rsidP="001B03EB">
      <w:pPr>
        <w:pStyle w:val="Tekstpodstawowy"/>
        <w:ind w:left="426" w:firstLine="282"/>
        <w:rPr>
          <w:rFonts w:ascii="Calibri" w:hAnsi="Calibri" w:cs="Calibri"/>
          <w:b/>
        </w:rPr>
      </w:pPr>
      <w:r w:rsidRPr="001B03EB">
        <w:rPr>
          <w:rFonts w:ascii="Calibri" w:hAnsi="Calibri" w:cs="Calibri"/>
          <w:b/>
        </w:rPr>
        <w:t>KRATY PODESTOWE OCYNK. VEMA 1000X1500X25x2 oczko w standardzie – 20 szt.</w:t>
      </w:r>
    </w:p>
    <w:p w:rsidR="001B03EB" w:rsidRPr="001B03EB" w:rsidRDefault="001B03EB" w:rsidP="001B03EB">
      <w:pPr>
        <w:pStyle w:val="Tekstpodstawowy"/>
        <w:ind w:left="426" w:firstLine="282"/>
        <w:rPr>
          <w:rFonts w:ascii="Calibri" w:hAnsi="Calibri" w:cs="Calibri"/>
          <w:b/>
        </w:rPr>
      </w:pPr>
      <w:r w:rsidRPr="001B03EB">
        <w:rPr>
          <w:rFonts w:ascii="Calibri" w:hAnsi="Calibri" w:cs="Calibri"/>
          <w:b/>
        </w:rPr>
        <w:t>KRATY PODESTOWE OCYNK. VEMA 1500X1000X40 oczko w standardzie – 60 szt.</w:t>
      </w:r>
    </w:p>
    <w:p w:rsidR="00891441" w:rsidRPr="001B03EB" w:rsidRDefault="001B03EB" w:rsidP="001B03EB">
      <w:pPr>
        <w:pStyle w:val="Tekstpodstawowy"/>
        <w:ind w:left="708"/>
        <w:rPr>
          <w:rFonts w:cstheme="minorHAnsi"/>
          <w:b/>
        </w:rPr>
      </w:pPr>
      <w:r w:rsidRPr="001B03EB">
        <w:rPr>
          <w:rFonts w:ascii="Calibri" w:hAnsi="Calibri" w:cs="Calibri"/>
          <w:b/>
        </w:rPr>
        <w:t>KRATY PODESTOWE OCYNK. VEMA 1000X1000X40 oczko w standardzie – 20 szt.</w:t>
      </w:r>
    </w:p>
    <w:p w:rsidR="00FA4199" w:rsidRPr="00FA4199" w:rsidRDefault="00085C17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 xml:space="preserve"> </w:t>
      </w:r>
      <w:r w:rsidR="00891441" w:rsidRPr="005C2C65">
        <w:rPr>
          <w:rFonts w:asciiTheme="minorHAnsi" w:hAnsiTheme="minorHAnsi" w:cstheme="minorHAnsi"/>
          <w:b/>
          <w:lang w:val="pl-PL"/>
        </w:rPr>
        <w:t>(„Towar”).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1B03EB">
        <w:rPr>
          <w:rFonts w:cstheme="minorHAnsi"/>
          <w:bCs/>
          <w:iCs/>
        </w:rPr>
        <w:t>10</w:t>
      </w:r>
      <w:r>
        <w:rPr>
          <w:rFonts w:cstheme="minorHAnsi"/>
          <w:bCs/>
          <w:iCs/>
        </w:rPr>
        <w:t>.</w:t>
      </w:r>
      <w:r w:rsidR="001B03EB">
        <w:rPr>
          <w:rFonts w:cstheme="minorHAnsi"/>
          <w:bCs/>
          <w:iCs/>
        </w:rPr>
        <w:t>10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CE0EC2">
        <w:rPr>
          <w:rFonts w:cstheme="minorHAnsi"/>
        </w:rPr>
        <w:t>Dost</w:t>
      </w:r>
      <w:r w:rsidRPr="005C2C65">
        <w:rPr>
          <w:rFonts w:cstheme="minorHAnsi"/>
        </w:rPr>
        <w:t>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04907" w:rsidRPr="001B03EB" w:rsidRDefault="00085C17" w:rsidP="00CE0EC2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</w:t>
      </w:r>
      <w:r w:rsidR="00804907">
        <w:rPr>
          <w:rFonts w:cstheme="minorHAnsi"/>
          <w:b/>
        </w:rPr>
        <w:t>:</w:t>
      </w:r>
    </w:p>
    <w:p w:rsidR="001B03EB" w:rsidRPr="001B03EB" w:rsidRDefault="001B03EB" w:rsidP="001B03EB">
      <w:pPr>
        <w:pStyle w:val="Akapitzlist"/>
        <w:snapToGrid w:val="0"/>
        <w:spacing w:after="200"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KRATA</w:t>
      </w:r>
      <w:r w:rsidRPr="001B03EB">
        <w:rPr>
          <w:rFonts w:ascii="Calibri" w:hAnsi="Calibri" w:cs="Calibri"/>
        </w:rPr>
        <w:t xml:space="preserve"> PODESTOW</w:t>
      </w:r>
      <w:r>
        <w:rPr>
          <w:rFonts w:ascii="Calibri" w:hAnsi="Calibri" w:cs="Calibri"/>
        </w:rPr>
        <w:t>A</w:t>
      </w:r>
      <w:r w:rsidRPr="001B03EB">
        <w:rPr>
          <w:rFonts w:ascii="Calibri" w:hAnsi="Calibri" w:cs="Calibri"/>
        </w:rPr>
        <w:t xml:space="preserve"> OCYNK. VEMA 1000X1500X25x2 oczko w standardzie</w:t>
      </w:r>
      <w:r>
        <w:rPr>
          <w:rFonts w:ascii="Calibri" w:hAnsi="Calibri" w:cs="Calibri"/>
        </w:rPr>
        <w:t xml:space="preserve"> - </w:t>
      </w:r>
    </w:p>
    <w:p w:rsidR="001B03EB" w:rsidRPr="001B03EB" w:rsidRDefault="001B03EB" w:rsidP="001B03EB">
      <w:pPr>
        <w:pStyle w:val="Akapitzlist"/>
        <w:snapToGrid w:val="0"/>
        <w:spacing w:after="200" w:line="276" w:lineRule="auto"/>
        <w:ind w:left="709"/>
        <w:jc w:val="both"/>
        <w:rPr>
          <w:rFonts w:ascii="Calibri" w:hAnsi="Calibri" w:cs="Calibri"/>
        </w:rPr>
      </w:pPr>
      <w:r w:rsidRPr="001B03EB">
        <w:rPr>
          <w:rFonts w:ascii="Calibri" w:hAnsi="Calibri" w:cs="Calibri"/>
        </w:rPr>
        <w:t>KRAT</w:t>
      </w:r>
      <w:r>
        <w:rPr>
          <w:rFonts w:ascii="Calibri" w:hAnsi="Calibri" w:cs="Calibri"/>
        </w:rPr>
        <w:t>A</w:t>
      </w:r>
      <w:r w:rsidRPr="001B03EB">
        <w:rPr>
          <w:rFonts w:ascii="Calibri" w:hAnsi="Calibri" w:cs="Calibri"/>
        </w:rPr>
        <w:t xml:space="preserve"> PODESTOW</w:t>
      </w:r>
      <w:r>
        <w:rPr>
          <w:rFonts w:ascii="Calibri" w:hAnsi="Calibri" w:cs="Calibri"/>
        </w:rPr>
        <w:t>A</w:t>
      </w:r>
      <w:r w:rsidRPr="001B03EB">
        <w:rPr>
          <w:rFonts w:ascii="Calibri" w:hAnsi="Calibri" w:cs="Calibri"/>
        </w:rPr>
        <w:t xml:space="preserve"> OCYNK. VEMA 1500X1000X40 oczko w standardzie</w:t>
      </w:r>
      <w:r>
        <w:rPr>
          <w:rFonts w:ascii="Calibri" w:hAnsi="Calibri" w:cs="Calibri"/>
        </w:rPr>
        <w:t xml:space="preserve"> - </w:t>
      </w:r>
    </w:p>
    <w:p w:rsidR="001B03EB" w:rsidRPr="00CE0EC2" w:rsidRDefault="001B03EB" w:rsidP="001B03EB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</w:rPr>
      </w:pPr>
      <w:r w:rsidRPr="001B03EB">
        <w:rPr>
          <w:rFonts w:ascii="Calibri" w:hAnsi="Calibri" w:cs="Calibri"/>
        </w:rPr>
        <w:t>KRAT</w:t>
      </w:r>
      <w:r>
        <w:rPr>
          <w:rFonts w:ascii="Calibri" w:hAnsi="Calibri" w:cs="Calibri"/>
        </w:rPr>
        <w:t>A</w:t>
      </w:r>
      <w:r w:rsidRPr="001B03EB">
        <w:rPr>
          <w:rFonts w:ascii="Calibri" w:hAnsi="Calibri" w:cs="Calibri"/>
        </w:rPr>
        <w:t xml:space="preserve"> PODESTOW</w:t>
      </w:r>
      <w:r>
        <w:rPr>
          <w:rFonts w:ascii="Calibri" w:hAnsi="Calibri" w:cs="Calibri"/>
        </w:rPr>
        <w:t>A</w:t>
      </w:r>
      <w:bookmarkStart w:id="1" w:name="_GoBack"/>
      <w:bookmarkEnd w:id="1"/>
      <w:r w:rsidRPr="001B03EB">
        <w:rPr>
          <w:rFonts w:ascii="Calibri" w:hAnsi="Calibri" w:cs="Calibri"/>
        </w:rPr>
        <w:t xml:space="preserve"> OCYNK. VEMA 1000X1000X40 oczko w standardzie</w:t>
      </w:r>
      <w:r>
        <w:rPr>
          <w:rFonts w:ascii="Calibri" w:hAnsi="Calibri" w:cs="Calibri"/>
        </w:rPr>
        <w:t xml:space="preserve"> -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lastRenderedPageBreak/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8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CE0EC2">
        <w:rPr>
          <w:rFonts w:cstheme="minorHAnsi"/>
        </w:rPr>
        <w:t>Dost</w:t>
      </w:r>
      <w:r w:rsidRPr="00BC5B3D">
        <w:rPr>
          <w:rFonts w:cstheme="minorHAnsi"/>
        </w:rPr>
        <w:t>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CE0EC2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AA030D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Mateusz Smaluch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4</w:t>
      </w:r>
      <w:r w:rsidR="00824DAF" w:rsidRPr="00824DAF">
        <w:rPr>
          <w:rFonts w:cs="Arial"/>
          <w:b/>
        </w:rPr>
        <w:t xml:space="preserve"> </w:t>
      </w:r>
      <w:r w:rsidR="00CE0EC2">
        <w:rPr>
          <w:rFonts w:cs="Arial"/>
          <w:b/>
        </w:rPr>
        <w:t>8</w:t>
      </w:r>
      <w:r>
        <w:rPr>
          <w:rFonts w:cs="Arial"/>
          <w:b/>
        </w:rPr>
        <w:t>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0" w:history="1">
        <w:r w:rsidRPr="00F27AE1">
          <w:rPr>
            <w:rStyle w:val="Hipercze"/>
            <w:rFonts w:eastAsiaTheme="minorEastAsia"/>
            <w:noProof/>
            <w:lang w:eastAsia="pl-PL"/>
          </w:rPr>
          <w:t>mateusz.smaluch@enea.pl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</w:t>
      </w:r>
      <w:r w:rsidR="00CE0EC2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lastRenderedPageBreak/>
        <w:t>GWARANCJA</w:t>
      </w:r>
    </w:p>
    <w:p w:rsidR="00891441" w:rsidRPr="005C2C65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FD0140" w:rsidRPr="005C2C65">
        <w:rPr>
          <w:rFonts w:cstheme="minorHAnsi"/>
        </w:rPr>
        <w:t xml:space="preserve"> gwarantuje, że Przedmiot Umowy </w:t>
      </w:r>
      <w:r w:rsidR="00FD0140"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="005713EC">
        <w:rPr>
          <w:rFonts w:cstheme="minorHAnsi"/>
        </w:rPr>
        <w:t>stanowi załącznik</w:t>
      </w:r>
      <w:r w:rsidRPr="00DC030C">
        <w:rPr>
          <w:rFonts w:cstheme="minorHAnsi"/>
        </w:rPr>
        <w:t>:</w:t>
      </w:r>
    </w:p>
    <w:p w:rsidR="00DC030C" w:rsidRDefault="00EC19AB" w:rsidP="00DC030C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DC030C" w:rsidRPr="00DC030C">
        <w:rPr>
          <w:rFonts w:asciiTheme="minorHAnsi" w:hAnsiTheme="minorHAnsi" w:cstheme="minorHAnsi"/>
          <w:szCs w:val="22"/>
        </w:rPr>
        <w:t>Klauzula informacyjna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5E5F3E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Default="00DC030C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DC030C" w:rsidRPr="00933462" w:rsidRDefault="005713EC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br/>
      </w:r>
      <w:r w:rsidR="00DC030C">
        <w:rPr>
          <w:rFonts w:ascii="Franklin Gothic Book" w:hAnsi="Franklin Gothic Book" w:cs="Calibri"/>
          <w:szCs w:val="20"/>
        </w:rPr>
        <w:t xml:space="preserve">Załącznik </w:t>
      </w:r>
      <w:r w:rsidR="00DC030C" w:rsidRPr="00933462">
        <w:rPr>
          <w:rFonts w:ascii="Franklin Gothic Book" w:hAnsi="Franklin Gothic Book" w:cs="Calibri"/>
          <w:szCs w:val="20"/>
        </w:rPr>
        <w:t xml:space="preserve"> </w:t>
      </w:r>
      <w:r w:rsidR="00DC030C">
        <w:rPr>
          <w:rFonts w:ascii="Franklin Gothic Book" w:hAnsi="Franklin Gothic Book" w:cs="Calibri"/>
          <w:szCs w:val="20"/>
        </w:rPr>
        <w:t xml:space="preserve">nr 1 </w:t>
      </w:r>
      <w:r w:rsidR="00DC030C" w:rsidRPr="00933462">
        <w:rPr>
          <w:rFonts w:ascii="Franklin Gothic Book" w:hAnsi="Franklin Gothic Book" w:cs="Calibri"/>
          <w:szCs w:val="20"/>
        </w:rPr>
        <w:t xml:space="preserve"> do umow</w:t>
      </w:r>
      <w:r w:rsidR="00DC030C"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 xml:space="preserve">dla </w:t>
      </w:r>
      <w:r w:rsidR="005713EC">
        <w:rPr>
          <w:rFonts w:ascii="Franklin Gothic Book" w:hAnsi="Franklin Gothic Book" w:cs="Arial"/>
          <w:b/>
          <w:szCs w:val="20"/>
        </w:rPr>
        <w:t>Dostawcy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>w i współpracowników Wykonawcy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Administratorem Pana/Pani danych osobowych podanych przez Pana/Panią jest Enea Elektrownia Połaniec Spółka Akcyjna (w skrócie: Enea</w:t>
      </w:r>
      <w:r w:rsidR="00AA030D">
        <w:rPr>
          <w:rFonts w:ascii="Franklin Gothic Book" w:hAnsi="Franklin Gothic Book" w:cs="Arial"/>
          <w:sz w:val="20"/>
          <w:szCs w:val="20"/>
        </w:rPr>
        <w:t xml:space="preserve"> Elektrownia</w:t>
      </w:r>
      <w:r w:rsidRPr="00F70814">
        <w:rPr>
          <w:rFonts w:ascii="Franklin Gothic Book" w:hAnsi="Franklin Gothic Book" w:cs="Arial"/>
          <w:sz w:val="20"/>
          <w:szCs w:val="20"/>
        </w:rPr>
        <w:t xml:space="preserve">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1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CE0EC2">
        <w:rPr>
          <w:rFonts w:ascii="Franklin Gothic Book" w:hAnsi="Franklin Gothic Book" w:cs="Arial"/>
          <w:sz w:val="20"/>
          <w:szCs w:val="20"/>
        </w:rPr>
        <w:t>Dost</w:t>
      </w:r>
      <w:r w:rsidRPr="00F70814">
        <w:rPr>
          <w:rFonts w:ascii="Franklin Gothic Book" w:hAnsi="Franklin Gothic Book" w:cs="Arial"/>
          <w:sz w:val="20"/>
          <w:szCs w:val="20"/>
        </w:rPr>
        <w:t>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804907" w:rsidRPr="00DC2D06" w:rsidRDefault="00804907" w:rsidP="00804907">
      <w:pPr>
        <w:spacing w:line="276" w:lineRule="auto"/>
        <w:rPr>
          <w:rFonts w:eastAsia="Times New Roman" w:cstheme="minorHAnsi"/>
          <w:lang w:eastAsia="pl-PL"/>
        </w:rPr>
      </w:pPr>
    </w:p>
    <w:sectPr w:rsidR="00804907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D8" w:rsidRDefault="00823AD8" w:rsidP="00B33061">
      <w:pPr>
        <w:spacing w:after="0" w:line="240" w:lineRule="auto"/>
      </w:pPr>
      <w:r>
        <w:separator/>
      </w:r>
    </w:p>
  </w:endnote>
  <w:endnote w:type="continuationSeparator" w:id="0">
    <w:p w:rsidR="00823AD8" w:rsidRDefault="00823AD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D8" w:rsidRDefault="00823AD8" w:rsidP="00B33061">
      <w:pPr>
        <w:spacing w:after="0" w:line="240" w:lineRule="auto"/>
      </w:pPr>
      <w:r>
        <w:separator/>
      </w:r>
    </w:p>
  </w:footnote>
  <w:footnote w:type="continuationSeparator" w:id="0">
    <w:p w:rsidR="00823AD8" w:rsidRDefault="00823AD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hybridMultilevel"/>
    <w:tmpl w:val="42983A7A"/>
    <w:lvl w:ilvl="0" w:tplc="DC34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454C"/>
    <w:rsid w:val="000664C3"/>
    <w:rsid w:val="00067886"/>
    <w:rsid w:val="00077705"/>
    <w:rsid w:val="00081A8F"/>
    <w:rsid w:val="0008562F"/>
    <w:rsid w:val="00085C17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6977"/>
    <w:rsid w:val="001A7BE3"/>
    <w:rsid w:val="001A7CA0"/>
    <w:rsid w:val="001B03EB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2E55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2EC2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7D5A"/>
    <w:rsid w:val="005713EC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95A77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C4E78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C24D2"/>
    <w:rsid w:val="007F0E6D"/>
    <w:rsid w:val="007F3343"/>
    <w:rsid w:val="007F3B29"/>
    <w:rsid w:val="00804907"/>
    <w:rsid w:val="00804F56"/>
    <w:rsid w:val="00805183"/>
    <w:rsid w:val="00805EA2"/>
    <w:rsid w:val="0081247F"/>
    <w:rsid w:val="00817C42"/>
    <w:rsid w:val="00823AD8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2A55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030D"/>
    <w:rsid w:val="00AA4798"/>
    <w:rsid w:val="00AA765D"/>
    <w:rsid w:val="00AB067F"/>
    <w:rsid w:val="00AB2F9F"/>
    <w:rsid w:val="00AC1AFF"/>
    <w:rsid w:val="00AD2D04"/>
    <w:rsid w:val="00AD5345"/>
    <w:rsid w:val="00AE1F31"/>
    <w:rsid w:val="00AF0873"/>
    <w:rsid w:val="00AF2003"/>
    <w:rsid w:val="00AF28E0"/>
    <w:rsid w:val="00B019AB"/>
    <w:rsid w:val="00B03742"/>
    <w:rsid w:val="00B117D4"/>
    <w:rsid w:val="00B24DA9"/>
    <w:rsid w:val="00B253D6"/>
    <w:rsid w:val="00B27B08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1FEC"/>
    <w:rsid w:val="00C56C31"/>
    <w:rsid w:val="00C61CB0"/>
    <w:rsid w:val="00C67016"/>
    <w:rsid w:val="00C735CC"/>
    <w:rsid w:val="00C77467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E0EC2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600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D25BA"/>
    <w:rsid w:val="00ED6F65"/>
    <w:rsid w:val="00EE2403"/>
    <w:rsid w:val="00EE68BD"/>
    <w:rsid w:val="00EF3BD3"/>
    <w:rsid w:val="00F0433C"/>
    <w:rsid w:val="00F07173"/>
    <w:rsid w:val="00F072C6"/>
    <w:rsid w:val="00F22910"/>
    <w:rsid w:val="00F23E83"/>
    <w:rsid w:val="00F240E0"/>
    <w:rsid w:val="00F26F57"/>
    <w:rsid w:val="00F3447D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6A0E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teusz.smaluch@enea.pl" TargetMode="External"/><Relationship Id="rId17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mailto:mateusz.smaluch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AAFC-68CE-4F3F-ACC2-AE669F60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4802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2020-06-05T15:49:00Z</cp:lastPrinted>
  <dcterms:created xsi:type="dcterms:W3CDTF">2020-08-26T11:54:00Z</dcterms:created>
  <dcterms:modified xsi:type="dcterms:W3CDTF">2020-08-26T11:54:00Z</dcterms:modified>
  <cp:contentStatus/>
</cp:coreProperties>
</file>